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Гигиена питания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Гигиена питания | Записей: 2</w:t>
      </w:r>
    </w:p>
    <w:p>
      <w:r>
        <w:br w:type="page"/>
      </w:r>
    </w:p>
    <w:p>
      <w:pPr>
        <w:pStyle w:val="Heading1"/>
      </w:pPr>
      <w:r>
        <w:t>Гигиена питания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Гигиена питания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Спланировать и провести оценку состояния питания юношей и девушек в возрасте 16-17 лет, обучающихся в спортивной школе-интернате в период умеренного тренировочного режима (суточные энергозатраты 2800 ккал). Наметить основные направления коррекции фактического питания.</w:t>
      </w:r>
    </w:p>
    <w:p>
      <w:pPr>
        <w:pStyle w:val="Heading2"/>
      </w:pPr>
      <w:r>
        <w:t>1. Оценка ситуации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В качестве методов изучения фактического питания следует выбрать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метод записи (дневник питания)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24-часового воспроизведения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частоты использования пищевых продуктов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анализ меню-раскладок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анкетный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лабораторный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анализ меню-раскладок; анкетный</w:t>
      </w:r>
    </w:p>
    <w:p>
      <w:pPr>
        <w:ind w:left="504"/>
      </w:pPr>
      <w:r>
        <w:rPr>
          <w:b w:val="0"/>
          <w:i/>
        </w:rPr>
        <w:t>В качестве методов изучения организованного фактического питания следует выбрать: анализ меню-раскладок (как основной).</w:t>
        <w:br/>
        <w:br/>
        <w:t>Королев А.А. Гигиена питания. Руководство для врачей. - ГЭОТАР-Медиа, 2016. - 624 с. ISBN 978-5-9704-3706-3, стр. 399-402.</w:t>
        <w:br/>
        <w:br/>
      </w:r>
      <w:hyperlink r:id="rId9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качестве методов изучения организованного фактического питания следует выбрать: анкетный (как дополнительный).</w:t>
        <w:br/>
        <w:br/>
        <w:t>Королев А.А. Гигиена питания. Руководство для врачей. - ГЭОТАР-Медиа, 2016. - 624 с. ISBN 978-5-9704-3706-3, стр. 399-402.</w:t>
        <w:br/>
        <w:br/>
      </w:r>
      <w:hyperlink r:id="rId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изучения пищевого статуса целесообразно использовать неинвазивные методики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диагностика клинических симптомов гиповитаминозных состояний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расчет индекса атерогенности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расчет индекса массы тела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оценка ФАД-эффекта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расчет отношения окружности талии к окружности бедер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оценка содержания микронутриентов в слюне и моче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диагностика клинических симптомов гиповитаминозных состояний; расчет индекса массы тела; расчет отношения окружности талии к окружности бедер; оценка содержания микронутриентов в слюне и моче</w:t>
      </w:r>
    </w:p>
    <w:p>
      <w:pPr>
        <w:ind w:left="504"/>
      </w:pPr>
      <w:r>
        <w:rPr>
          <w:b w:val="0"/>
          <w:i/>
        </w:rPr>
        <w:t>Для изучения пищевого статуса целесообразно использовать неинвазивные методики: диагностика клинических симптомов гиповитаминозных состояний.</w:t>
        <w:br/>
        <w:br/>
        <w:t>Королев А.А. Гигиена питания. Руководство для врачей. - ГЭОТАР-Медиа, 2016. - 624 с. ISBN 978-5-9704-3706-3, стр. 402-418.</w:t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изучения пищевого статуса целесообразно использовать неинвазивные методики: расчет индекса массы тела.</w:t>
        <w:br/>
        <w:br/>
        <w:t>Королев А.А. Гигиена питания. Руководство для врачей. - ГЭОТАР-Медиа, 2016. - 624 с. ISBN 978-5-9704-3706-3, стр. 402-418.</w:t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изучения пищевого статуса целесообразно использовать неинвазивные методики: расчет отношения окружности талии к окружности бедер.</w:t>
        <w:br/>
        <w:br/>
        <w:t>Королев А.А. Гигиена питания. Руководство для врачей. - ГЭОТАР-Медиа, 2016. - 624 с. ISBN 978-5-9704-3706-3, стр. 402-418.</w:t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изучения пищевого статуса целесообразно использовать неинвазивные методики: оценка содержания микронутриентов в слюне и моче.</w:t>
        <w:br/>
        <w:br/>
        <w:t>Королев А.А. Гигиена питания. Руководство для врачей. - ГЭОТАР-Медиа, 2016. - 624 с. ISBN 978-5-9704-3706-3, стр. 402-418.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При изучении данных медицинских обследований (диспансеризаций) обучающихся необходимо оценить лабораторные показатели пищевого статуса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глюкоза в сыворотке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холестерин в сыворотке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количество тромбоцитов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уровень гемоглобина и количество эритроцитов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лейкоцитарная формула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кальций и активность щелочной фосфатазы в сыворотке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холестерин в сыворотке крови; уровень гемоглобина и количество эритроцитов; кальций и активность щелочной фосфатазы в сыворотке крови</w:t>
      </w:r>
    </w:p>
    <w:p>
      <w:pPr>
        <w:ind w:left="504"/>
      </w:pPr>
      <w:r>
        <w:rPr>
          <w:b w:val="0"/>
          <w:i/>
        </w:rPr>
        <w:t>При изучении данных медицинских обследований (диспансеризаций) обучающихся необходимо оценить лабораторные показатели пищевого статуса: Холестерин в сыворотке крови.</w:t>
        <w:br/>
        <w:br/>
        <w:t>Королев А.А. Гигиена питания. Руководство для врачей. - ГЭОТАР-Медиа, 2016. - 624 с. ISBN 978-5-9704-3706-3, стр. 402-418.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изучении данных медицинских обследований (диспансеризаций) обучающихся необходимо оценить лабораторные показатели пищевого статуса: Уровень гемоглобина и количество эритроцитов.</w:t>
        <w:br/>
        <w:br/>
        <w:t>Королев А.А. Гигиена питания. Руководство для врачей. - ГЭОТАР-Медиа, 2016. - 624 с. ISBN 978-5-9704-3706-3, стр. 402-418.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изучении данных медицинских обследований (диспансеризаций) обучающихся необходимо оценить лабораторные показатели пищевого статуса: Кальций и активность щелочной фосфатазы в сыворотке крови.</w:t>
        <w:br/>
        <w:br/>
        <w:t>Королев А.А. Гигиена питания. Руководство для врачей. - ГЭОТАР-Медиа, 2016. - 624 с. ISBN 978-5-9704-3706-3, стр. 402-418.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Дополнительная информация</w:t>
      </w:r>
    </w:p>
    <w:p>
      <w:pPr>
        <w:spacing w:after="58"/>
      </w:pPr>
      <w:r>
        <w:rPr>
          <w:b w:val="0"/>
          <w:i w:val="0"/>
        </w:rPr>
        <w:t>При анализе данных фактического питания в части продуктового набора (на одного человека) установлено:</w:t>
      </w:r>
    </w:p>
    <w:p>
      <w:pPr>
        <w:spacing w:after="58"/>
      </w:pPr>
      <w:r>
        <w:rPr>
          <w:b w:val="0"/>
          <w:i w:val="0"/>
        </w:rPr>
        <w:t>* Хлеб включается в рацион ежедневно в регламентированном количестве, из которого фактически употребляется 60-80 г.</w:t>
      </w:r>
    </w:p>
    <w:p>
      <w:pPr>
        <w:spacing w:after="58"/>
      </w:pPr>
      <w:r>
        <w:rPr>
          <w:b w:val="0"/>
          <w:i w:val="0"/>
        </w:rPr>
        <w:t>* Крупяные гарниры представлены в рационе 3 раза в неделю, гарниры из макаронных изделий – 4 раза в неделю.</w:t>
      </w:r>
    </w:p>
    <w:p>
      <w:pPr>
        <w:spacing w:after="58"/>
      </w:pPr>
      <w:r>
        <w:rPr>
          <w:b w:val="0"/>
          <w:i w:val="0"/>
        </w:rPr>
        <w:t>* Сахар включается в рацион ежедневно в количестве 80 г для добавления в напитки и блюда.</w:t>
      </w:r>
    </w:p>
    <w:p>
      <w:pPr>
        <w:spacing w:after="58"/>
      </w:pPr>
      <w:r>
        <w:rPr>
          <w:b w:val="0"/>
          <w:i w:val="0"/>
        </w:rPr>
        <w:t>* Ежедневно в рацион включается сдобная выпечка с различными сладкими наполнителями.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При указанной структуре зерновых продуктов и сахара в рационе в неоптимальном количестве могут поступать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моно-дисахариды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транс-изомеры жирных кислот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тиамин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биофлавоноиды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пищевые волокна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аскорбиновая кислота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моно-дисахариды; транс-изомеры жирных кислот; тиамин; пищевые волокна</w:t>
      </w:r>
    </w:p>
    <w:p>
      <w:pPr>
        <w:ind w:left="504"/>
      </w:pPr>
      <w:r>
        <w:rPr>
          <w:b w:val="0"/>
          <w:i/>
        </w:rPr>
        <w:t>При указанной структуре зерновых продуктов и сахара в рационе в неоптимальном количестве могут поступать: моно-дисахариды (сахар, сдобная выпечка со сладкими наполнителями).</w:t>
        <w:br/>
        <w:br/>
        <w:t>Королев А.А. Гигиена питания. Руководство для врачей. - ГЭОТАР-Медиа, 2016. - 624 с. ISBN 978-5-9704-3706-3, стр. 66-80.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указанной структуре зерновых продуктов и сахара в рационе в неоптимальном количестве могут поступать: транс-изомеры жирных кислот (сдобная выпечка).</w:t>
        <w:br/>
        <w:br/>
        <w:t>Королев А.А. Гигиена питания. Руководство для врачей. - ГЭОТАР-Медиа, 2016. - 624 с.  ISBN 978-5-9704-3706-3, стр. 64-65.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указанной структуре зерновых продуктов и сахара в рационе в неоптимальном количестве могут поступать: тиамин (хлеб, крупы).</w:t>
        <w:br/>
        <w:br/>
        <w:t>Королев А.А. Гигиена питания. Руководство для врачей. - ГЭОТАР-Медиа, 2016. - 624 с. ISBN 978-5-9704-3706-3, стр. 199-205.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указанной структуре зерновых продуктов и сахара в рационе в неоптимальном количестве могут поступать: пищевые волокна (хлеб, крупы).</w:t>
        <w:br/>
        <w:br/>
        <w:t>Королев А.А. Гигиена питания. Руководство для врачей. - ГЭОТАР-Медиа, 2016. - 624 с. ISBN 978-5-9704-3706-3, стр. 199-205.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7. Дополнительная информация</w:t>
      </w:r>
    </w:p>
    <w:p>
      <w:pPr>
        <w:spacing w:after="58"/>
      </w:pPr>
      <w:r>
        <w:rPr>
          <w:b w:val="0"/>
          <w:i w:val="0"/>
        </w:rPr>
        <w:t>При анализе данных фактического питания в части продуктового набора (на одного человека) установлено:</w:t>
      </w:r>
    </w:p>
    <w:p>
      <w:pPr>
        <w:spacing w:after="58"/>
      </w:pPr>
      <w:r>
        <w:rPr>
          <w:b w:val="0"/>
          <w:i w:val="0"/>
        </w:rPr>
        <w:t>* Ежедневное употребление молока и жидких молочных продуктов составляет 200 г.</w:t>
      </w:r>
    </w:p>
    <w:p>
      <w:pPr>
        <w:spacing w:after="58"/>
      </w:pPr>
      <w:r>
        <w:rPr>
          <w:b w:val="0"/>
          <w:i w:val="0"/>
        </w:rPr>
        <w:t>* Творог обезжиренный включается в рацион 2 раза в неделю, сыр плавленый 50 % жирности – 4 раза.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При указанной структуре молочной группы продуктов в рационе в неоптимальном количестве могут поступать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рибофлавин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железо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кальций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ретинол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полиненасыщенные жирные кислоты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короткоцепочечные жирные кислоты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рибофлавин; кальций; ретинол; короткоцепочечные жирные кислоты</w:t>
      </w:r>
    </w:p>
    <w:p>
      <w:pPr>
        <w:ind w:left="504"/>
      </w:pPr>
      <w:r>
        <w:rPr>
          <w:b w:val="0"/>
          <w:i/>
        </w:rPr>
        <w:t>При указанной структуре молочной группы продуктов в рационе в неоптимальном количестве могут поступать: рибофлавин (молоко).</w:t>
        <w:br/>
        <w:br/>
        <w:t>Королев А.А. Гигиена питания. Руководство для врачей. - ГЭОТАР-Медиа, 2016. - 624 с. ISBN 978-5-9704-3706-3, стр. 218-227.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указанной структуре молочной группы продуктов в рационе в неоптимальном количестве могут поступать: кальций (молоко).</w:t>
        <w:br/>
        <w:br/>
        <w:t>Королев А.А. Гигиена питания. Руководство для врачей. - ГЭОТАР-Медиа, 2016. - 624 с. ISBN 978-5-9704-3706-3, стр. 218-227.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указанной структуре молочной группы продуктов в рационе в неоптимальном количестве могут поступать: ретинол (молоко, обезжиренный творог).</w:t>
        <w:br/>
        <w:br/>
        <w:t>Королев А.А. Гигиена питания. Руководство для врачей. - ГЭОТАР-Медиа, 2016. - 624 с. ISBN 978-5-9704-3706-3, стр. 218-227.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указанной структуре молочной группы продуктов в рационе в неоптимальном количестве могут поступать: короткоцепочечные жирные кислоты (молоко).</w:t>
        <w:br/>
        <w:br/>
        <w:t>Королев А.А. Гигиена питания. Руководство для врачей. - ГЭОТАР-Медиа, 2016. - 624 с. ISBN 978-5-9704-3706-3, стр. 218-227.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9. Дополнительная информация</w:t>
      </w:r>
    </w:p>
    <w:p>
      <w:pPr>
        <w:spacing w:after="58"/>
      </w:pPr>
      <w:r>
        <w:rPr>
          <w:b w:val="0"/>
          <w:i w:val="0"/>
        </w:rPr>
        <w:t>При анализе данных фактического питания в части продуктового набора (на одного человека) установлено:</w:t>
      </w:r>
    </w:p>
    <w:p>
      <w:pPr>
        <w:spacing w:after="58"/>
      </w:pPr>
      <w:r>
        <w:rPr>
          <w:b w:val="0"/>
          <w:i w:val="0"/>
        </w:rPr>
        <w:t>* Мясо включается в рацион 4 раза в неделю в среднем количестве 100 г.</w:t>
      </w:r>
    </w:p>
    <w:p>
      <w:pPr>
        <w:spacing w:after="58"/>
      </w:pPr>
      <w:r>
        <w:rPr>
          <w:b w:val="0"/>
          <w:i w:val="0"/>
        </w:rPr>
        <w:t>* Птица включается в рацион 5 раз в неделю в среднем количестве 80 г.</w:t>
      </w:r>
    </w:p>
    <w:p>
      <w:pPr>
        <w:spacing w:after="58"/>
      </w:pPr>
      <w:r>
        <w:rPr>
          <w:b w:val="0"/>
          <w:i w:val="0"/>
        </w:rPr>
        <w:t>* Сосиски и пельмени употребляются 2 раза в неделю.</w:t>
      </w:r>
    </w:p>
    <w:p>
      <w:pPr>
        <w:spacing w:after="58"/>
      </w:pPr>
      <w:r>
        <w:rPr>
          <w:b w:val="0"/>
          <w:i w:val="0"/>
        </w:rPr>
        <w:t>* Рыба включается в рацион 1 раз в неделю в виде первого блюда из рыбных консервов.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При указанной структуре мясной и рыбной группы продуктов в рационе в неоптимальном количестве могут поступать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токоферол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ниацин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пиридоксин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железо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кальций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аскорбиновая кислота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ниацин; пиридоксин; железо</w:t>
      </w:r>
    </w:p>
    <w:p>
      <w:pPr>
        <w:ind w:left="504"/>
      </w:pPr>
      <w:r>
        <w:rPr>
          <w:b w:val="0"/>
          <w:i/>
        </w:rPr>
        <w:t>При указанной структуре мясной и рыбной группы продуктов в рационе в неоптимальном количестве могут поступать:</w:t>
        <w:br/>
        <w:br/>
        <w:t>* Ниацин (мясо, рыба)</w:t>
        <w:br/>
        <w:br/>
        <w:t>Королев А.А. Гигиена питания. Руководство для врачей. - ГЭОТАР-Медиа, 2016. - 624 с. ISBN 978-5-9704-3706-3, стр. 230-247.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указанной структуре мясной и рыбной группы продуктов в рационе в неоптимальном количестве могут поступать:</w:t>
        <w:br/>
        <w:br/>
        <w:t>* Пиридоксин (мясо, рыба)</w:t>
        <w:br/>
        <w:br/>
        <w:t>Королев А.А. Гигиена питания. Руководство для врачей. - ГЭОТАР-Медиа, 2016. - 624 с. ISBN 978-5-9704-3706-3, стр. 230-247.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указанной структуре мясной и рыбной группы продуктов в рационе в неоптимальном количестве могут поступать:</w:t>
        <w:br/>
        <w:br/>
        <w:t>* Железо (мясо)</w:t>
        <w:br/>
        <w:br/>
        <w:t>Королев А.А. Гигиена питания. Руководство для врачей. - ГЭОТАР-Медиа, 2016. - 624 с. ISBN 978-5-9704-3706-3, стр. 230-237.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При указанной структуре мясной и рыбной группы продуктов в рационе неоптимальные значения могут иметь маркеры пищевого статуса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кальций + активность щелочной фосфатазы в сыворотке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концентрация N-метилникотинамида в суточной моче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ферритин и трансферрин в сыворотке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уровень витамина С в суточной моче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ПАЛФ-эффект в эритроцитах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соотношение токоферола и холестерина в плазме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концентрация N-метилникотинамида в суточной моче; ферритин и трансферрин в сыворотке крови; ПАЛФ-эффект в эритроцитах</w:t>
      </w:r>
    </w:p>
    <w:p>
      <w:pPr>
        <w:ind w:left="504"/>
      </w:pPr>
      <w:r>
        <w:rPr>
          <w:b w:val="0"/>
          <w:i/>
        </w:rPr>
        <w:t>При дефицитной структуре мясной и рыбной группы продуктов в рационе неоптимальные значения могут иметь маркеры пищевого статуса:</w:t>
        <w:br/>
        <w:br/>
        <w:t>* Концентрация N-метилникотинамида в суточной моче (маркер ниацина)</w:t>
        <w:br/>
        <w:br/>
        <w:t>Королев А.А. Гигиена питания. Руководство для врачей. - ГЭОТАР-Медиа, 2016. - 624 с. ISBN 978-5-9704-3706-3, стр. 402-418.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дефицитной структуре мясной и рыбной группы продуктов в рационе неоптимальные значения могут иметь маркеры пищевого статуса:</w:t>
        <w:br/>
        <w:br/>
        <w:t>* Ферритин и трансферрин в сыворотке крови (маркеры железа)</w:t>
        <w:br/>
        <w:br/>
        <w:t>Королев А.А. Гигиена питания. Руководство для врачей. - ГЭОТАР-Медиа, 2016. - 624 с. ISBN 978-5-9704-3706-3, стр. 402-418.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дефицитной структуре мясной и рыбной группы продуктов в рационе неоптимальные значения могут иметь маркеры пищевого статуса:</w:t>
        <w:br/>
        <w:br/>
        <w:t>* ПАЛФ-эффект в эритроцитах (маркер пиридоксина)</w:t>
        <w:br/>
        <w:br/>
        <w:t>Королев А.А. Гигиена питания. Руководство для врачей. - ГЭОТАР-Медиа, 2016. - 624 с. ISBN 978-5-9704-3706-3, стр. 402-418.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12. Дополнительная информация</w:t>
      </w:r>
    </w:p>
    <w:p>
      <w:pPr>
        <w:spacing w:after="58"/>
      </w:pPr>
      <w:r>
        <w:rPr>
          <w:b w:val="0"/>
          <w:i w:val="0"/>
        </w:rPr>
        <w:t>При анализе данных фактического питания в части продуктового набора (на одного человека) установлено:</w:t>
      </w:r>
    </w:p>
    <w:p>
      <w:pPr>
        <w:spacing w:after="58"/>
      </w:pPr>
      <w:r>
        <w:rPr>
          <w:b w:val="0"/>
          <w:i w:val="0"/>
        </w:rPr>
        <w:t>* Овощи представлены в рационе 3 раза в неделю в качестве гарниров (способ приготовления – тушение) и 4 раза в неделю в качестве салатов и винегретов при среднем ежедневном употреблении 200 г.</w:t>
      </w:r>
    </w:p>
    <w:p>
      <w:pPr>
        <w:spacing w:after="58"/>
      </w:pPr>
      <w:r>
        <w:rPr>
          <w:b w:val="0"/>
          <w:i w:val="0"/>
        </w:rPr>
        <w:t>* Свежие фрукты включаются в рацион 2 раза в неделю (по 1 яблоку), ежедневно в рационе присутствуют компоты из сухофруктов или ягодные морсы.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При указанной структуре овощей и фруктов в рационе в неоптимальном количестве могут поступать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ретинол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каротиноиды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пищевые волокна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кальций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калий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аскорбиновая кислота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каротиноиды; пищевые волокна; калий; аскорбиновая кислота</w:t>
      </w:r>
    </w:p>
    <w:p>
      <w:pPr>
        <w:ind w:left="504"/>
      </w:pPr>
      <w:r>
        <w:rPr>
          <w:b w:val="0"/>
          <w:i/>
        </w:rPr>
        <w:t>При дефицитной структуре овощей и фруктов в рационе в неоптимальном количестве могут поступать:</w:t>
        <w:br/>
        <w:br/>
        <w:t>* Каротиноиды (овощи, фрукты)</w:t>
        <w:br/>
        <w:br/>
        <w:t>Королев А.А. Гигиена питания. Руководство для врачей. - ГЭОТАР-Медиа, 2016. - 624 с. ISBN 978-5-9704-3706-3, стр. 207-211.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дефицитной структуре овощей и фруктов в рационе в неоптимальном количестве могут поступать:</w:t>
        <w:br/>
        <w:br/>
        <w:t>* Пищевые волокна (овощи, фрукты)</w:t>
        <w:br/>
        <w:br/>
        <w:t>Королев А.А. Гигиена питания. Руководство для врачей. - ГЭОТАР-Медиа, 2016. - 624 с. ISBN 978-5-9704-3706-3, стр. 207-211.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дефицитной структуре овощей и фруктов в рационе в неоптимальном количестве могут поступать:</w:t>
        <w:br/>
        <w:br/>
        <w:t>* Калий (овощи, фрукты)</w:t>
        <w:br/>
        <w:br/>
        <w:t>Королев А.А. Гигиена питания. Руководство для врачей. - ГЭОТАР-Медиа, 2016. - 624 с. ISBN 978-5-9704-3706-3, стр. 207-211.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дефицитной структуре овощей и фруктов в рационе в неоптимальном количестве могут поступать:</w:t>
        <w:br/>
        <w:br/>
        <w:t>* Аскорбиновая кислота (свежие овощи, фрукты)</w:t>
        <w:br/>
        <w:br/>
        <w:t>Королев А.А. Гигиена питания. Руководство для врачей. - ГЭОТАР-Медиа, 2016. - 624 с.  ISBN 978-5-9704-3706-3, стр. 207-211.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14. Дополнительная информация</w:t>
      </w:r>
    </w:p>
    <w:p>
      <w:pPr>
        <w:spacing w:after="58"/>
      </w:pPr>
      <w:r>
        <w:rPr>
          <w:b w:val="0"/>
          <w:i w:val="0"/>
        </w:rPr>
        <w:t>При анализе данных фактического питания в части продуктового набора (на одного человека) установлено:</w:t>
      </w:r>
    </w:p>
    <w:p>
      <w:pPr>
        <w:spacing w:after="58"/>
      </w:pPr>
      <w:r>
        <w:rPr>
          <w:b w:val="0"/>
          <w:i w:val="0"/>
        </w:rPr>
        <w:t>* Масло растительное используется для приготовления блюд и заправки салатов и винегретов ежедневно в количестве 1 столовой ложки.</w:t>
      </w:r>
    </w:p>
    <w:p>
      <w:pPr>
        <w:spacing w:after="58"/>
      </w:pPr>
      <w:r>
        <w:rPr>
          <w:b w:val="0"/>
          <w:i w:val="0"/>
        </w:rPr>
        <w:t>* Сливочное масло включается в рацион 4 раза в неделю в количестве 10 г на хлеб.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При указанной структуре масложировых продуктов в рационе в неоптимальном количестве могут поступать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токоферол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полиненасыщенные жирные кислоты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ретинол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рибофлавин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короткоцепочечные жирные кислоты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фитостерины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токоферол; полиненасыщенные жирные кислоты; ретинол; короткоцепочечные жирные кислоты; фитостерины</w:t>
      </w:r>
    </w:p>
    <w:p>
      <w:pPr>
        <w:ind w:left="504"/>
      </w:pPr>
      <w:r>
        <w:rPr>
          <w:b w:val="0"/>
          <w:i/>
        </w:rPr>
        <w:t>При дефицитной структуре масложировых продуктов в рационе в неоптимальном количестве могут поступать:</w:t>
        <w:br/>
        <w:br/>
        <w:t>* Токоферол (растительное масло)</w:t>
        <w:br/>
        <w:br/>
        <w:t>Королев А.А. Гигиена питания. Руководство для врачей. - ГЭОТАР-Медиа, 2016. - 624 с. ISBN 978-5-9704-3706-3, стр. 212-217.</w:t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дефицитной структуре масложировых продуктов в рационе в неоптимальном количестве могут поступать:</w:t>
        <w:br/>
        <w:br/>
        <w:t>* Полиненасыщенные жирные кислоты (растительное масло)</w:t>
        <w:br/>
        <w:br/>
        <w:t>Королев А.А. Гигиена питания. Руководство для врачей. - ГЭОТАР-Медиа, 2016. - 624 с. ISBN 978-5-9704-3706-3, стр. 212-217.</w:t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дефицитной структуре масложировых продуктов в рационе в неоптимальном количестве могут поступать:</w:t>
        <w:br/>
        <w:br/>
        <w:t>* Ретинол (сливочное масло)</w:t>
        <w:br/>
        <w:br/>
        <w:t>Королев А.А. Гигиена питания. Руководство для врачей. - ГЭОТАР-Медиа, 2016. - 624 с. ISBN 978-5-9704-3706-3, стр. 218-227.</w:t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дефицитной структуре масложировых продуктов в рационе в неоптимальном количестве могут поступать:</w:t>
        <w:br/>
        <w:br/>
        <w:t>* Короткоцепочечные жирные кислоты (сливочное масло)</w:t>
        <w:br/>
        <w:br/>
        <w:t>Королев А.А. Гигиена питания. Руководство для врачей. - ГЭОТАР-Медиа, 2016. - 624 с. ISBN 978-5-9704-3706-3, стр. 218-227.</w:t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дефицитной структуре масложировых продуктов в рационе в неоптимальном количестве могут поступать:</w:t>
        <w:br/>
        <w:br/>
        <w:t>* Фитостерины (растительное масло)</w:t>
        <w:br/>
        <w:br/>
        <w:t>Королев А.А. Гигиена питания. Руководство для врачей. - ГЭОТАР-Медиа, 2016. - 624 с. ISBN 978-5-9704-3706-3, стр. 212-217.</w:t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16. Дополнительная информация</w:t>
      </w:r>
    </w:p>
    <w:p>
      <w:pPr>
        <w:spacing w:after="58"/>
      </w:pPr>
      <w:r>
        <w:rPr>
          <w:b w:val="0"/>
          <w:i w:val="0"/>
        </w:rPr>
        <w:t>При оценке пищевого статуса у 50% учащихся были установлены следующие симптомы микронутриентного дисбаланса:</w:t>
      </w:r>
    </w:p>
    <w:p>
      <w:pPr>
        <w:spacing w:after="58"/>
      </w:pPr>
      <w:r>
        <w:rPr>
          <w:b w:val="0"/>
          <w:i w:val="0"/>
        </w:rPr>
        <w:t>* Кровь при чистке зубов.</w:t>
      </w:r>
    </w:p>
    <w:p>
      <w:pPr>
        <w:spacing w:after="58"/>
      </w:pPr>
      <w:r>
        <w:rPr>
          <w:b w:val="0"/>
          <w:i w:val="0"/>
        </w:rPr>
        <w:t>* Увеличение времени темновой адаптации.</w:t>
      </w:r>
    </w:p>
    <w:p>
      <w:pPr>
        <w:spacing w:after="58"/>
      </w:pPr>
      <w:r>
        <w:rPr>
          <w:b w:val="0"/>
          <w:i w:val="0"/>
        </w:rPr>
        <w:t>* Фолликулярный гиперкератоз на разгибательных поверхностях суставов.</w:t>
      </w:r>
    </w:p>
    <w:p>
      <w:pPr>
        <w:spacing w:after="58"/>
      </w:pPr>
      <w:r>
        <w:rPr>
          <w:b w:val="0"/>
          <w:i w:val="0"/>
        </w:rPr>
        <w:t>* Сухость кожных покровов тела и конечностей.</w:t>
      </w:r>
    </w:p>
    <w:p>
      <w:pPr>
        <w:spacing w:after="58"/>
      </w:pPr>
      <w:r>
        <w:rPr>
          <w:b w:val="0"/>
          <w:i w:val="0"/>
        </w:rPr>
        <w:t>* Себорея волосистой части головы и лица.</w:t>
      </w:r>
    </w:p>
    <w:p>
      <w:pPr>
        <w:spacing w:after="58"/>
      </w:pPr>
      <w:r>
        <w:rPr>
          <w:b w:val="0"/>
          <w:i w:val="0"/>
        </w:rPr>
        <w:t>* Гипертрофия сосочков языка.</w:t>
      </w:r>
    </w:p>
    <w:p>
      <w:pPr>
        <w:spacing w:after="58"/>
      </w:pPr>
      <w:r>
        <w:rPr>
          <w:b w:val="0"/>
          <w:i w:val="0"/>
        </w:rPr>
        <w:t>* Ангулярный стоматит.</w:t>
      </w:r>
    </w:p>
    <w:p>
      <w:pPr>
        <w:pStyle w:val="Heading2"/>
      </w:pPr>
      <w:r>
        <w:t>2. Разработка мероприятий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Для минимизации указанных симптомов следует включить в рацион в оптимальных количествах продукты ежедневного выбора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свежие овощи и фрукты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рыбу и морепродукты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растительное масло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хлеб из муки грубого помола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молоко и жидкие молочные продукты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сливочное масло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свежие овощи и фрукты; хлеб из муки грубого помола; молоко и жидкие молочные продукты; сливочное масло</w:t>
      </w:r>
    </w:p>
    <w:p>
      <w:pPr>
        <w:ind w:left="504"/>
      </w:pPr>
      <w:r>
        <w:rPr>
          <w:b w:val="0"/>
          <w:i/>
        </w:rPr>
        <w:t>Для минимизации указанных симптомов следует включить в рацион в оптимальных количествах продукты ежедневного выбора:</w:t>
        <w:br/>
        <w:br/>
        <w:t>* Свежие овощи и фрукты (кровь при чистке зубов, фолликулярный гиперкератоз, себорея).</w:t>
        <w:br/>
        <w:br/>
        <w:t>Королев А.А. Гигиена питания. Руководство для врачей. - ГЭОТАР-Медиа, 2016. - 624 с. ISBN 978-5-9704-3706-3, стр. 402-418.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минимизации указанных симптомов следует включить в рацион в оптимальных количествах продукты ежедневного выбора:</w:t>
        <w:br/>
        <w:br/>
        <w:t>* Хлеб из муки грубого помола (ангулярный стоматит, гипертрофия сосочков языка)</w:t>
        <w:br/>
        <w:br/>
        <w:t>Королев А.А. Гигиена питания. Руководство для врачей. - ГЭОТАР-Медиа, 2016. - 624 с. ISBN 978-5-9704-3706-3, стр. 402-418.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минимизации указанных симптомов следует включить в рацион в оптимальных количествах продукты ежедневного выбора:</w:t>
        <w:br/>
        <w:br/>
        <w:t>* Молоко и жидкие молочные продукты (время темновой адаптации, фолликулярный гиперкератоз, сухость кожи)</w:t>
        <w:br/>
        <w:br/>
        <w:t>Королев А.А. Гигиена питания. Руководство для врачей. - ГЭОТАР-Медиа, 2016. - 624 с. ISBN 978-5-9704-3706-3, стр. 402-418.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минимизации указанных симптомов следует включить в рацион в оптимальных количествах продукты ежедневного выбора:</w:t>
        <w:br/>
        <w:br/>
        <w:t>* Сливочное масло (время темновой адаптации, фолликулярный гиперкератоз, сухость кожи)</w:t>
        <w:br/>
        <w:br/>
        <w:t>Королев А.А. Гигиена питания. Руководство для врачей. - ГЭОТАР-Медиа, 2016. - 624 с. ISBN 978-5-9704-3706-3, стр. 402-418.</w:t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18. Дополнительная информация</w:t>
      </w:r>
    </w:p>
    <w:p>
      <w:pPr>
        <w:spacing w:after="58"/>
      </w:pPr>
      <w:r>
        <w:rPr>
          <w:b w:val="0"/>
          <w:i w:val="0"/>
        </w:rPr>
        <w:t>При расширенном лабораторном исследовании были получены следующие значения биомаркеров пищевого статуса:</w:t>
      </w:r>
    </w:p>
    <w:p>
      <w:pPr>
        <w:spacing w:after="58"/>
      </w:pPr>
      <w:r>
        <w:rPr>
          <w:b w:val="0"/>
          <w:i w:val="0"/>
        </w:rPr>
        <w:t>* Повышенное содержание гликозилированного гемоглобина А1с.</w:t>
      </w:r>
    </w:p>
    <w:p>
      <w:pPr>
        <w:spacing w:after="58"/>
      </w:pPr>
      <w:r>
        <w:rPr>
          <w:b w:val="0"/>
          <w:i w:val="0"/>
        </w:rPr>
        <w:t>* Дислипопротеинемия (высокие концентрации липопротеидов низкой плотности при относительно низкой концентрации липопротеидов высокой плотности).</w:t>
      </w:r>
    </w:p>
    <w:p>
      <w:pPr>
        <w:spacing w:after="58"/>
      </w:pPr>
      <w:r>
        <w:rPr>
          <w:b w:val="0"/>
          <w:i w:val="0"/>
        </w:rPr>
        <w:t>* Дефицит йода по показателям йодурии.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Для нормализации указанных биомаркеров следует произвести оптимизацию рациона учащихся, а именно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уменьшить ежедневное употребление добавленного сахара и содержащих его продуктов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ежедневно включать в рацион оптимальное количество растительного масла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включать в рацион дважды в неделю блюда из рыбы (одно блюдо из морской, жирной рыбы)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использовать для приготовления блюд йодированную поваренную соль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ежедневно включать в рацион оптимальную порцию крупяных гарниров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минимизировать включение в рацион продукции, содержащей транс-изомеры жирных кислот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уменьшить ежедневное употребление добавленного сахара и содержащих его продуктов; ежедневно включать в рацион оптимальное количество растительного масла; включать в рацион дважды в неделю блюда из рыбы (одно блюдо из морской, жирной рыбы); использовать для приготовления блюд йодированную поваренную соль; минимизировать включение в рацион продукции, содержащей транс-изомеры жирных кислот</w:t>
      </w:r>
    </w:p>
    <w:p>
      <w:pPr>
        <w:ind w:left="504"/>
      </w:pPr>
      <w:r>
        <w:rPr>
          <w:b w:val="0"/>
          <w:i/>
        </w:rPr>
        <w:t>Для нормализации указанных биомаркеров следует произвести оптимизацию рациона учащихся, а именно:</w:t>
        <w:br/>
        <w:br/>
        <w:t>* Уменьшить ежедневное употребление добавленного сахара и содержащих его продуктов (гликозилированный гемоглобин)</w:t>
        <w:br/>
        <w:br/>
        <w:t>Королев А.А. Гигиена питания. Руководство для врачей. - ГЭОТАР-Медиа, 2016. - 624 с. ISBN 978-5-9704-3706-3, стр. 270-293.</w:t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нормализации указанных биомаркеров следует произвести оптимизацию рациона учащихся, а именно:</w:t>
        <w:br/>
        <w:br/>
        <w:t>* Ежедневно включать в рацион оптимальное количество растительного масла (дислипопротеинемия)</w:t>
        <w:br/>
        <w:br/>
        <w:t>Королев А.А. Гигиена питания. Руководство для врачей. - ГЭОТАР-Медиа, 2016. - 624 с. ISBN 978-5-9704-3706-3, стр. 270-293.</w:t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нормализации указанных биомаркеров следует произвести оптимизацию рациона учащихся, а именно:</w:t>
        <w:br/>
        <w:br/>
        <w:t>* Включать в рацион дважды в неделю блюда из рыбы (одно блюдо из морской, жирной рыбы) (дислипопротеинемия, йодурия)</w:t>
        <w:br/>
        <w:br/>
        <w:t>Королев А.А. Гигиена питания. Руководство для врачей. - ГЭОТАР-Медиа, 2016. - 624 с. ISBN 978-5-9704-3706-3, стр. 270-293.</w:t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нормализации указанных биомаркеров следует произвести оптимизацию рациона учащихся, а именно:</w:t>
        <w:br/>
        <w:br/>
        <w:t>* Использовать для приготовления блюд йодированную поваренную соль (йодурия)</w:t>
        <w:br/>
        <w:br/>
        <w:t>Королев А.А. Гигиена питания. Руководство для врачей. - ГЭОТАР-Медиа, 2016. - 624 с. ISBN 978-5-9704-3706-3, стр. 270-293.</w:t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нормализации указанных биомаркеров следует произвести оптимизацию рациона учащихся, а именно:</w:t>
        <w:br/>
        <w:br/>
        <w:t>* Минимизировать включение в рацион продукции, содержащей транс-изомеры жирных кислот (дислипопротеинемия)</w:t>
        <w:br/>
        <w:br/>
        <w:t>Королев А.А. Гигиена питания. Руководство для врачей. - ГЭОТАР-Медиа, 2016. - 624 с. ISBN 978-5-9704-3706-3, стр. 270-293.</w:t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20. Дополнительная информация</w:t>
      </w:r>
    </w:p>
    <w:p>
      <w:pPr>
        <w:spacing w:after="58"/>
      </w:pPr>
      <w:r>
        <w:rPr>
          <w:b w:val="0"/>
          <w:i w:val="0"/>
        </w:rPr>
        <w:t>При расширенном лабораторном исследовании у 60% учащихся было установлено снижение содержания в сыворотке крови ферритина и трасферрина и у 10% отмечены цилиарная инъекция и дисфагия.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Для нормализации указанных биомаркеров следует произвести оптимизацию рациона учащихся, а именно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проводить ежедневную С-витаминизацию третьих блюд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включать в рацион блюда из субпродуктов вместо блюд из мяса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включать в рацион оптимальные порции блюд из мяса нежирных сортов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включать в рацион гарниры из гречки и пшена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включать в рацион блюда с чечевицей и фасолью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проводить ежедневную А-витаминизацию заправок для салатов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проводить ежедневную С-витаминизацию третьих блюд; включать в рацион оптимальные порции блюд из мяса нежирных сортов; включать в рацион гарниры из гречки и пшена; включать в рацион блюда с чечевицей и фасолью</w:t>
      </w:r>
    </w:p>
    <w:p>
      <w:pPr>
        <w:ind w:left="504"/>
      </w:pPr>
      <w:r>
        <w:rPr>
          <w:b w:val="0"/>
          <w:i/>
        </w:rPr>
        <w:t>Для нормализации указанных биомаркеров следует произвести оптимизацию рациона учащихся, а именно:</w:t>
        <w:br/>
        <w:br/>
        <w:t>* Проводить ежедневную С-витаминизацию третьих блюд (повышение биодоступности негемового железа)</w:t>
        <w:br/>
        <w:br/>
        <w:t>Королев А.А. Гигиена питания. Руководство для врачей. - ГЭОТАР-Медиа, 2016. - 624 с. ISBN 978-5-9704-3706-3, стр. 270-293.</w:t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нормализации указанных биомаркеров следует произвести оптимизацию рациона учащихся, а именно:</w:t>
        <w:br/>
        <w:br/>
        <w:t>* Включать в рацион оптимальные порции блюд из мяса нежирных сортов (железо)</w:t>
        <w:br/>
        <w:br/>
        <w:t>Королев А.А. Гигиена питания. Руководство для врачей. - ГЭОТАР-Медиа, 2016. - 624 с. ISBN 978-5-9704-3706-3, стр. 270-293.</w:t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нормализации указанных биомаркеров следует произвести оптимизацию рациона учащихся, а именно:</w:t>
        <w:br/>
        <w:br/>
        <w:t>* Включать в рацион гарниры из гречки и пшена (негемовое железо)</w:t>
        <w:br/>
        <w:br/>
        <w:t>Королев А.А. Гигиена питания. Руководство для врачей. - ГЭОТАР-Медиа, 2016. - 624 с. ISBN 978-5-9704-3706, стр. 270-293.</w:t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нормализации указанных биомаркеров следует произвести оптимизацию рациона учащихся, а именно:</w:t>
        <w:br/>
        <w:br/>
        <w:t>* Включать в рацион блюда с чечевицей и фасолью (негемовое железо)</w:t>
        <w:br/>
        <w:br/>
        <w:t>Королев А.А. Гигиена питания. Руководство для врачей. - ГЭОТАР-Медиа, 2016. - 624 с. ISBN 978-5-9704-3706-3, стр. 270-293.</w:t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Гигиена питания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Гигиена питания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Провести оценку соответствия магазина «Универсальный» в рамках выездной внеплановой проверки по факту возникшего пищевого отравления.</w:t>
      </w:r>
    </w:p>
    <w:p>
      <w:pPr>
        <w:pStyle w:val="Heading2"/>
      </w:pPr>
      <w:r>
        <w:t>1. Оценка ситуации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Выездная внеплановая проверка поднадзорного объекта в рамках принятия неотложных мер по предотвращению и устранению угрозы причинения вреда здоровью (по факту возникшего пищевого отравления) требует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проведения данной проверки в срок, не превышающий десять рабочих дней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подготовки решения для проведения контрольного (надзорного) мероприятия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уведомления о выездной проверке контролируемого лица не позднее, чем за сорок восемь часов до ее начала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согласования времени прихода контролирующих лиц на проверяемый объект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выхода на объект без предварительного согласования с прокуратурой по месту нахождения объекта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отправки запроса о предоставлении документации о деятельности объекта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проведения данной проверки в срок, не превышающий десять рабочих дней; подготовки решения для проведения контрольного (надзорного) мероприятия; выхода на объект без предварительного согласования с прокуратурой по месту нахождения объекта</w:t>
      </w:r>
    </w:p>
    <w:p>
      <w:pPr>
        <w:ind w:left="504"/>
      </w:pPr>
      <w:r>
        <w:rPr>
          <w:b w:val="0"/>
          <w:i/>
        </w:rPr>
        <w:t>Срок проведения выездной проверки не может превышать десять рабочих дней.</w:t>
        <w:br/>
        <w:br/>
        <w:t>ФЗ-248 «О государственном контроле (надзоре) и муниципальном контроле в РФ», ст.73 п.7</w:t>
        <w:br/>
        <w:br/>
      </w:r>
      <w:hyperlink r:id="rId29">
        <w:r>
          <w:rPr>
            <w:color w:val="0F766E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br/>
        <w:br/>
      </w:r>
      <w:hyperlink r:id="rId3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проведения контрольного (надзорного) мероприятия принимается решение контрольного (надзорного) органа, подписанное уполномоченным должностным лицом контрольного (надзорного) органа.</w:t>
        <w:br/>
        <w:br/>
        <w:t>ФЗ-248 «О государственном контроле (надзоре) и муниципальном контроле в РФ», ст.64 п.1</w:t>
        <w:br/>
        <w:br/>
      </w:r>
      <w:hyperlink r:id="rId29">
        <w:r>
          <w:rPr>
            <w:color w:val="0F766E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br/>
        <w:br/>
      </w:r>
      <w:hyperlink r:id="rId3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Если основанием для проведения внепланового контрольного (надзорного) мероприятия являются сведения о непосредственной угрозе причинения вреда (ущерба) охраняемым законом ценностям, контрольный (надзорный) орган для принятия неотложных мер по ее предотвращению и устранению приступает к проведению внепланового контрольного (надзорного) мероприятия незамедлительно (в течение двадцати четырех часов после получения соответствующих сведений) с извещением об этом органа прокуратуры по месту нахождения объекта контроля посредством направления в тот же срок документов…</w:t>
        <w:br/>
        <w:br/>
        <w:t>ФЗ-248 «О государственном контроле (надзоре) и муниципальном контроле в РФ», ст.66 п.12</w:t>
        <w:br/>
        <w:br/>
      </w:r>
      <w:hyperlink r:id="rId29">
        <w:r>
          <w:rPr>
            <w:color w:val="0F766E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br/>
        <w:br/>
      </w:r>
      <w:hyperlink r:id="rId3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На данном пищевом объекте документальной проверке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подлежат декларации соответствия на специализированную продукцию, реализуемую в магазине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подлежат технологические карты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подлежат документы, подтверждающие соответствие пищевой продукции требованиям качества и безопасности, пищевой продукции, поступающей в организацию торговли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подлежат документы, подтверждающие происхождение пищевой продукции, поступающей в организацию торговли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подлежит «Программа производственного контроля»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подлежат медицинские книжки работников, имеющих непосредственный контакт с пищевой продукцией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подлежат документы, подтверждающие соответствие пищевой продукции требованиям качества и безопасности, пищевой продукции, поступающей в организацию торговли; подлежат документы, подтверждающие происхождение пищевой продукции, поступающей в организацию торговли; подлежит «Программа производственного контроля»; подлежат медицинские книжки работников, имеющих непосредственный контакт с пищевой продукцией</w:t>
      </w:r>
    </w:p>
    <w:p>
      <w:pPr>
        <w:ind w:left="504"/>
      </w:pPr>
      <w:r>
        <w:rPr>
          <w:b w:val="0"/>
          <w:i/>
        </w:rPr>
        <w:t>Не допускаются для реализации населению пищевая продукция без товаросопроводительных документов.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8.11</w:t>
      </w:r>
    </w:p>
    <w:p>
      <w:pPr>
        <w:ind w:left="504"/>
      </w:pPr>
      <w:r>
        <w:rPr>
          <w:b w:val="0"/>
          <w:i/>
        </w:rPr>
        <w:t>В организацию должна приниматься пищевая продукция, сопровождаемая товаросопроводительной документацией, обеспечивающей её прослеживаемость.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7.2</w:t>
      </w:r>
    </w:p>
    <w:p>
      <w:pPr>
        <w:ind w:left="504"/>
      </w:pPr>
      <w:r>
        <w:rPr>
          <w:b w:val="0"/>
          <w:i/>
        </w:rPr>
        <w:t>На каждом поднадзорном объекте должна находиться «Программа производственного контроля».</w:t>
        <w:br/>
        <w:br/>
        <w:t>В стационарных торговых объектах должен быть организован производственный контроль за соблюдением санитарно-эпидемиологических требований и проведением санитарно-противоэпидемических (профилактических) мероприятий в порядке и с периодичностью, определяемыми юридическими лицами и индивидуальными предпринимателями.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п.1.3</w:t>
      </w:r>
    </w:p>
    <w:p>
      <w:pPr>
        <w:ind w:left="504"/>
      </w:pPr>
      <w:r>
        <w:rPr>
          <w:b w:val="0"/>
          <w:i/>
        </w:rPr>
        <w:t>Работники торговых объектов, имеющие непосредственный контакт с пищевой продукцией, должны иметь личную медицинскую книжку с отметками о пройденном медицинском осмотре и заключением врача о допуске к работе, сведениями о прививках, сведениями о прохождении профессиональной гигиенической подготовки и аттестации.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1.5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В ходе санитарно-гигиенической оценки установленных фактов были сделаны выводы, что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ежедневная регистрация показателей температурного режима хранения пищевой продукции в холодильном оборудовании и складских помещениях обязательна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регулярное заполнение Гигиенического журнала соответствует обязательным требования СП 2.3.6.3668-20 «Санитарно-эпидемиологические требования к условиям деятельности торговых объектов и рынков, реализующих пищевую продукцию»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периодичность прохождения гигиенической подготовки и аттестации работников объекта не соблюдена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соблюдается периодичность прохождения гигиенической подготовки и аттестации работников объекта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нерегулярное заполнение Гигиенического журнала не соответствует «Методическим рекомендациям по обеспечению санитарно-эпидемиологических требований к условиям деятельности торговых объектов»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ежедневная регистрация показателей температурного режима хранения пищевой продукции в холодильном оборудовании и складских помещениях не обязательна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ежедневная регистрация показателей температурного режима хранения пищевой продукции в холодильном оборудовании и складских помещениях обязательна; соблюдается периодичность прохождения гигиенической подготовки и аттестации работников объекта; нерегулярное заполнение Гигиенического журнала не соответствует «Методическим рекомендациям по обеспечению санитарно-эпидемиологических требований к условиям деятельности торговых объектов»</w:t>
      </w:r>
    </w:p>
    <w:p>
      <w:pPr>
        <w:ind w:left="504"/>
      </w:pPr>
      <w:r>
        <w:rPr>
          <w:b w:val="0"/>
          <w:i/>
        </w:rPr>
        <w:t>В целях контроля соблюдения условий хранения пищевой продукции, установленных производителем, должен проводиться ежедневный контроль за температурно-влажностным режимом хранения пищевой продукции в холодильном оборудовании и складских помещениях, с регистрацией показателей температуры и влажности воздуха на бумажных и (или) электронных носителях.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п.7.5</w:t>
      </w:r>
    </w:p>
    <w:p>
      <w:pPr>
        <w:ind w:left="504"/>
      </w:pPr>
      <w:r>
        <w:rPr>
          <w:b w:val="0"/>
          <w:i/>
        </w:rPr>
        <w:t>Работники торговых объектов, имеющие непосредственный контакт с пищевой продукцией, проходят профессиональную гигиеническую подготовку и аттестацию при приеме на работу и далее с периодичностью не реже чем 1 раз в 2 года.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1.6</w:t>
      </w:r>
    </w:p>
    <w:p>
      <w:pPr>
        <w:ind w:left="504"/>
      </w:pPr>
      <w:r>
        <w:rPr>
          <w:b w:val="0"/>
          <w:i/>
        </w:rPr>
        <w:t>Результаты ежедневного осмотра сотрудников рекомендуется заносить в специальный журнал.</w:t>
        <w:br/>
        <w:br/>
        <w:t>МР 2.3.0243-2 «Методические рекомендации по обеспечению санитарно-эпидемиологических требований к условиям деятельности торговых объектов и рынков, реализующих пищевую продукцию», п. 11.3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К документам, подтверждающим соответствие указанной пищевой продукции, которые обязательно должны быть в наличии на объекте,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декларации соответствия на сыры твердые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ветеринарный сертификат на молоко сырое фляжное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декларацию соответствия на минеральную воду различных наименований с минерализацией 1мг/дм3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декларации соответствия на молочную и кисломолочную заводскую продукцию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декларации соответствия на кондитерские изделия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ветеринарные сертификаты на масло сливочное и маргарин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декларации соответствия на сыры твердые; ветеринарный сертификат на молоко сырое фляжное; декларации соответствия на молочную и кисломолочную заводскую продукцию; декларации соответствия на кондитерские изделия</w:t>
      </w:r>
    </w:p>
    <w:p>
      <w:pPr>
        <w:ind w:left="504"/>
      </w:pPr>
      <w:r>
        <w:rPr>
          <w:b w:val="0"/>
          <w:i/>
        </w:rPr>
        <w:t>На все партии пищевой продукции (за исключением новой, специализированной и не переработанной пищевой продукции животного происхождения) должны иметься декларации соответствия.</w:t>
        <w:br/>
        <w:br/>
        <w:t>Технического регламента Таможенного союза «О безопасности пищевой продукции» ТР ТС 021/2011, ст.23</w:t>
      </w:r>
    </w:p>
    <w:p>
      <w:pPr>
        <w:ind w:left="504"/>
      </w:pPr>
      <w:r>
        <w:rPr>
          <w:b w:val="0"/>
          <w:i/>
        </w:rPr>
        <w:t>На все партии не переработанной пищевой продукция животного происхождения должны иметься ветеринарные сертификаты.</w:t>
        <w:br/>
        <w:br/>
        <w:t>Технического регламента Таможенного союза «О безопасности пищевой продукции» ТР ТС 021/2011, ст.30</w:t>
      </w:r>
    </w:p>
    <w:p>
      <w:pPr>
        <w:ind w:left="504"/>
      </w:pPr>
      <w:r>
        <w:rPr>
          <w:b w:val="0"/>
          <w:i/>
        </w:rPr>
        <w:t>На все партии пищевой продукции (за исключением новой, специализированной и не переработанной пищевой продукции животного происхождения) должны иметься декларации соответствия.</w:t>
        <w:br/>
        <w:br/>
        <w:t>Технического регламента Таможенного союза «О безопасности пищевой продукции» ТР ТС 021/2011, ст.23</w:t>
      </w:r>
    </w:p>
    <w:p>
      <w:pPr>
        <w:ind w:left="504"/>
      </w:pPr>
      <w:r>
        <w:rPr>
          <w:b w:val="0"/>
          <w:i/>
        </w:rPr>
        <w:t>На все партии пищевой продукции (за исключением новой и специализированной) должны иметься декларации соответствия.</w:t>
        <w:br/>
        <w:br/>
        <w:t>Технического регламента Таможенного союза «О безопасности пищевой продукции» ТР ТС 021/2011, ст.23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В ходе санитарно-гигиенической оценки установленных фактов были сделаны выводы, что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хранение кисломолочной продукции, требующей специальных температурно-влажностных условий хранения, вне холодильной камеры отвечает обязательным требованиям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наличие раковины для мытья рук в фасовочном отделении гастрономической продукции не обязательно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хранение хлеба на полу не отвечает гигиеническим требованиям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хранение охлажденного мяса (четвертин) штабелями не соответствует обязательным требованиям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хранение кисломолочной продукции, требующей специальных температурно-влажностных условий хранения, вне холодильной камеры не отвечает обязательным требованиям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хранение охлажденного мяса (четвертин) штабелям и в низкотемпературной камере отвечает обязательным требованиям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хранение хлеба на полу не отвечает гигиеническим требованиям; хранение охлажденного мяса (четвертин) штабелями не соответствует обязательным требованиям; хранение кисломолочной продукции, требующей специальных температурно-влажностных условий хранения, вне холодильной камеры не отвечает обязательным требованиям</w:t>
      </w:r>
    </w:p>
    <w:p>
      <w:pPr>
        <w:ind w:left="504"/>
      </w:pPr>
      <w:r>
        <w:rPr>
          <w:b w:val="0"/>
          <w:i/>
        </w:rPr>
        <w:t>Хлеб и хлебобулочные изделия должны храниться в складских помещениях и (или) торговом зале на стеллажах. При хранении хлеба и хлебобулочных изделий не допускается их соприкосновение со стенами и (или) полом помещений.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7.11</w:t>
      </w:r>
    </w:p>
    <w:p>
      <w:pPr>
        <w:ind w:left="504"/>
      </w:pPr>
      <w:r>
        <w:rPr>
          <w:b w:val="0"/>
          <w:i/>
        </w:rPr>
        <w:t>В холодильных камерах должны быть созданы условия для хранения охлажденного мяса (туш, полутуш, четвертин) в вертикальном подвешенном состоянии без соприкосновения друг с другом, а также без соприкосновения со стенами и полом холодильной камеры.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7.9</w:t>
      </w:r>
    </w:p>
    <w:p>
      <w:pPr>
        <w:ind w:left="504"/>
      </w:pPr>
      <w:r>
        <w:rPr>
          <w:b w:val="0"/>
          <w:i/>
        </w:rPr>
        <w:t>Не допускается хранение пищевой продукции вне складских помещений либо специально оборудованных зон, за исключением упакованной в потребительскую или транспортную упаковку и не требующей специальных температурно-влажностных условий хранения.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7.8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В ходе санитарно-гигиенической оценки установленных фактов были сделаны выводы, что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совместное хранение в морозильной камере мясных замороженных полуфабрикатов промышленного изготовления и сосисок в потребительских упаковках является нарушением обязательных требований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совместное хранение в холодильной камере гастрономической продукции копченых колбасных изделий и творога весового в таре поставщика не соответствует обязательным требованиям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сохранение этикетки от транспортной упаковки пищевой продукции поставщика до конца реализации продукции является обязательным требованием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совместное хранение в морозильной камере мясных замороженных полуфабрикатов промышленного изготовления и сосисок в потребительских упаковках  соответствует обязательным требованиям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сохранение этикетки от транспортной упаковки пищевой продукции поставщика до конца реализации продукции не является обязательным требованием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совместное хранение в холодильной камере на разных полках охлажденных мясных полуфабрикатов, упакованных промышленным способом, партии нарезки колбасы варено-копченной в промышленных упаковках соответствует обязательным требованиям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совместное хранение в морозильной камере мясных замороженных полуфабрикатов промышленного изготовления и сосисок в потребительских упаковках является нарушением обязательных требований; совместное хранение в холодильной камере гастрономической продукции копченых колбасных изделий и творога весового в таре поставщика не соответствует обязательным требованиям; сохранение этикетки от транспортной упаковки пищевой продукции поставщика до конца реализации продукции является обязательным требованием; совместное хранение в холодильной камере на разных полках охлажденных мясных полуфабрикатов, упакованных промышленным способом, партии нарезки колбасы варено-копченной в промышленных упаковках соответствует обязательным требованиям</w:t>
      </w:r>
    </w:p>
    <w:p>
      <w:pPr>
        <w:ind w:left="504"/>
      </w:pPr>
      <w:r>
        <w:rPr>
          <w:b w:val="0"/>
          <w:i/>
        </w:rPr>
        <w:t>Допускается хранение продовольственного (пищевого) сырья и полуфабрикатов промышленного изготовления совместно с готовой пищевой продукцией при условии, что такое сырье, полуфабрикаты и готовая пищевая продукция упакованы промышленным способом, исключающим их соприкосновение, и что они имеют одинаковые температурно-влажностные параметры хранения при соблюдении условий хранения пищевой продукции, установленных изготовителем.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7.7</w:t>
      </w:r>
    </w:p>
    <w:p>
      <w:pPr>
        <w:ind w:left="504"/>
      </w:pPr>
      <w:r>
        <w:rPr>
          <w:b w:val="0"/>
          <w:i/>
        </w:rPr>
        <w:t>Пищевая продукция должна размещаться в торговом объекте с учетом исключения нарушения ее запаха (товарное соседство).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7.6</w:t>
      </w:r>
    </w:p>
    <w:p>
      <w:pPr>
        <w:ind w:left="504"/>
      </w:pPr>
      <w:r>
        <w:rPr>
          <w:b w:val="0"/>
          <w:i/>
        </w:rPr>
        <w:t>Для пищевой продукции, неупакованной в потребительскую упаковку, этикетки (ярлыки) от транспортной упаковки пищевой продукции поставщика или листок-вкладыш, помещаемый в каждую транспортную упаковку или прилагаемый к каждой транспортной упаковке, или нанесенная непосредственно на транспортную упаковку маркировка должны сохраняться до момента реализации пищевой продукции.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7.4</w:t>
      </w:r>
    </w:p>
    <w:p>
      <w:pPr>
        <w:ind w:left="504"/>
      </w:pPr>
      <w:r>
        <w:rPr>
          <w:b w:val="0"/>
          <w:i/>
        </w:rPr>
        <w:t>Допускается хранение продовольственного (пищевого) сырья и полуфабрикатов промышленного изготовления совместно с готовой пищевой продукцией при условии, что такое сырье, полуфабрикаты и готовая пищевая продукция упакованы промышленным способом, исключающим их соприкосновение, и что они имеют одинаковые температурно-влажностные параметры хранения при соблюдении условий хранения пищевой продукции, установленных изготовителем.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7.7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В ходе санитарно-гигиенической оценки установленных фактов были сделаны выводы, что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продажа яиц в потребительской упаковке по 10 и 30 штук в гастрономическом отделе магазина является нарушением обязательных требований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продажа арбузов частями, упакованными в пищевую пленку, является нарушением обязательных требований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продажа яиц в потребительской упаковке в гастрономическом отделе магазина не нарушает обязательных требований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реализация консервов в деформированных банках недопустима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продажа кур-гриль собственного производства, упакованных под вакуумом, допустима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продажа кур-гриль собственного производства, упакованных под вакуумом, не допустима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продажа яиц в потребительской упаковке по 10 и 30 штук в гастрономическом отделе магазина является нарушением обязательных требований; продажа арбузов частями, упакованными в пищевую пленку, является нарушением обязательных требований; реализация консервов в деформированных банках недопустима; продажа кур-гриль собственного производства, упакованных под вакуумом, не допустима</w:t>
      </w:r>
    </w:p>
    <w:p>
      <w:pPr>
        <w:ind w:left="504"/>
      </w:pPr>
      <w:r>
        <w:rPr>
          <w:b w:val="0"/>
          <w:i/>
        </w:rPr>
        <w:t>В торговых объектах не допускается продажа яиц в отделах (секциях), реализующих не упакованную производителем пищевую продукцию, готовую к употреблению.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8.5</w:t>
      </w:r>
    </w:p>
    <w:p>
      <w:pPr>
        <w:ind w:left="504"/>
      </w:pPr>
      <w:r>
        <w:rPr>
          <w:b w:val="0"/>
          <w:i/>
        </w:rPr>
        <w:t>В торговых объектах не допускается реализация бахчевых культур частями и с надрезами.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8.11</w:t>
      </w:r>
    </w:p>
    <w:p>
      <w:pPr>
        <w:ind w:left="504"/>
      </w:pPr>
      <w:r>
        <w:rPr>
          <w:b w:val="0"/>
          <w:i/>
        </w:rPr>
        <w:t>Не допускаются в реализацию негерметичные, деформированные, консервы и банки с признаками бомбажа и микробиологической порчи.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8.11</w:t>
      </w:r>
    </w:p>
    <w:p>
      <w:pPr>
        <w:ind w:left="504"/>
      </w:pPr>
      <w:r>
        <w:rPr>
          <w:b w:val="0"/>
          <w:i/>
        </w:rPr>
        <w:t>В торговых объектах не допускается упаковывание пищевой продукции под вакуумом.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8.5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В ходе санитарно-гигиенической оценки установленных фактов были сделаны выводы, что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предприятиях торговли допускается использование многоразовых полотенец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отсутствие санитарной одежды у работника мясного отдела является нарушением обязательных требований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допуск к работе с пищевыми продуктами сотрудников с признаками респираторного заболевания является недопустимым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использование многоразовых полотенец в предприятиях торговли не отвечает обязательным требованиям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стирка санитарной одежды в домашних условиях допускается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стирка санитарной одежды, производимая в домашних условиях, не отвечает обязательным требованиям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отсутствие санитарной одежды у работника мясного отдела является нарушением обязательных требований; допуск к работе с пищевыми продуктами сотрудников с признаками респираторного заболевания является недопустимым; использование многоразовых полотенец в предприятиях торговли не отвечает обязательным требованиям; стирка санитарной одежды, производимая в домашних условиях, не отвечает обязательным требованиям</w:t>
      </w:r>
    </w:p>
    <w:p>
      <w:pPr>
        <w:ind w:left="504"/>
      </w:pPr>
      <w:r>
        <w:rPr>
          <w:b w:val="0"/>
          <w:i/>
        </w:rPr>
        <w:t>Работники торговых объектов, имеющие контакт с пищевой продукцией, обеспечиваются санитарной одеждой.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11.3</w:t>
      </w:r>
    </w:p>
    <w:p>
      <w:pPr>
        <w:ind w:left="504"/>
      </w:pPr>
      <w:r>
        <w:rPr>
          <w:b w:val="0"/>
          <w:i/>
        </w:rPr>
        <w:t>При появлении признаков простудного заболевания или кишечной дисфункции, а также гнойничковых заболеваний кожи рук и открытых поверхностей тела работник должен сообщать об этом руководству организации.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11.2</w:t>
      </w:r>
    </w:p>
    <w:p>
      <w:pPr>
        <w:ind w:left="504"/>
      </w:pPr>
      <w:r>
        <w:rPr>
          <w:b w:val="0"/>
          <w:i/>
        </w:rPr>
        <w:t>Мыло или иное моющее средство для рук, туалетная бумага, одноразовые полотенца или устройства для сушки рук должны быть в наличии в торговом объекте постоянно.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11.2</w:t>
      </w:r>
    </w:p>
    <w:p>
      <w:pPr>
        <w:ind w:left="504"/>
      </w:pPr>
      <w:r>
        <w:rPr>
          <w:b w:val="0"/>
          <w:i/>
        </w:rPr>
        <w:t>….стирка санитарной одежды должна осуществляться отдельно от личной одежды работников.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11.3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Без проведения дополнительной экспертизы подлежат утилизации (уничтожению) партии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сосисок в количестве 2 кг, имеющих ослизлую поверхность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крупы различных наименований в холщовых мешках, хранящиеся на полу кладовой для сыпучих продуктов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масла сливочного 82.5% жирности в количестве 40 пачек с истекшим сроком годности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икры красной в потребительской упаковке по 180 г в количестве 100 штук, хранящейся в холодильной камере при температуре, не соответствующей обозначенной на упаковке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яблок в количестве 50 кг без сопроводительной документации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сыра, расфасованного в потребительскую тару по 200 г., в количестве 25 штук частично пораженного плесенью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сосисок в количестве 2 кг, имеющих ослизлую поверхность; масла сливочного 82.5% жирности в количестве 40 пачек с истекшим сроком годности; сыра, расфасованного в потребительскую тару по 200 г., в количестве 25 штук частично пораженного плесенью</w:t>
      </w:r>
    </w:p>
    <w:p>
      <w:pPr>
        <w:ind w:left="504"/>
      </w:pPr>
      <w:r>
        <w:rPr>
          <w:b w:val="0"/>
          <w:i/>
        </w:rPr>
        <w:t>Без проведения дополнительной экспертизы подлежат утилизации (уничтожению) партии продукции с нарушенными органолептическими показателями.</w:t>
        <w:br/>
        <w:br/>
        <w:t>Запрещается обращение пищевых продуктов, материалов и изделий: которые являются опасными и (или) некачественными по органолептическим показателям;</w:t>
        <w:br/>
        <w:br/>
        <w:t>Пищевые продукты, материалы и изделия, указанные в абзацах втором и третьем пункта 2 настоящей статьи, признаются опасными и утилизируются или уничтожаются без проведения экспертизы в случаях, устанавливаемых Правительством Российской Федерации.</w:t>
        <w:br/>
        <w:br/>
        <w:t>ФЗ № 29 «О качестве и безопасности пищевых продуктов», ст.3 п.2, п.3</w:t>
      </w:r>
    </w:p>
    <w:p>
      <w:pPr>
        <w:ind w:left="504"/>
      </w:pPr>
      <w:r>
        <w:rPr>
          <w:b w:val="0"/>
          <w:i/>
        </w:rPr>
        <w:t>Без проведения дополнительной экспертизы подлежат утилизации (уничтожению) партии продукции с истекшим сроком годности.</w:t>
        <w:br/>
        <w:br/>
        <w:t>Запрещается обращение пищевых продуктов, материалов и изделий: … срок  годности которых истек.</w:t>
        <w:br/>
        <w:br/>
        <w:t>Пищевые продукты, материалы и изделия, указанные в абзацах втором и третьем пункта 2 настоящей статьи, признаются опасными и утилизируются или уничтожаются без проведения экспертизы в случаях, устанавливаемых Правительством Российской Федерации.</w:t>
        <w:br/>
        <w:br/>
        <w:t>ФЗ № 29 «О качестве и безопасности пищевых продуктов», ст.3 п.2, п.3</w:t>
      </w:r>
    </w:p>
    <w:p>
      <w:pPr>
        <w:ind w:left="504"/>
      </w:pPr>
      <w:r>
        <w:rPr>
          <w:b w:val="0"/>
          <w:i/>
        </w:rPr>
        <w:t>Без проведения дополнительной экспертизы подлежат утилизации (уничтожению) партии продукции с наличием плесени.</w:t>
        <w:br/>
        <w:br/>
        <w:t>Запрещается обращение пищевых продуктов, материалов и изделий: которые являются опасными и (или) некачественными по органолептическим показателям;</w:t>
        <w:br/>
        <w:br/>
        <w:t>Пищевые продукты, материалы и изделия, указанные в абзацах втором и третьем пункта 2 настоящей статьи, признаются опасными и утилизируются или уничтожаются без проведения экспертизы в случаях, устанавливаемых Правительством Российской Федерации.</w:t>
        <w:br/>
        <w:br/>
        <w:t>ФЗ № 29 «О качестве и безопасности пищевых продуктов», ст.3 п.2, п.3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В ходе санитарно-гигиенической оценки установленных фактов были сделаны выводы, что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отсутствие маркировки на уборочном инвентаре для торгового зала, складских и вспомогательных помещений является нарушением обязательных требований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график проведения генеральной уборки магазина составлен в соответствии с обязательными требованиями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маркировка уборочного инвентаря для торгового зала, складских и вспомогательных помещений не обязательна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обработка уборочного инвентаря моющими и дезсредствами отвечает обязательным требованиям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запрещается хранение уборочного инвентаря для туалетов совместно с инвентарем для уборки других помещений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график проведения генеральной уборки помещений объекта не соответствует обязательным требованиям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отсутствие маркировки на уборочном инвентаре для торгового зала, складских и вспомогательных помещений является нарушением обязательных требований; обработка уборочного инвентаря моющими и дезсредствами отвечает обязательным требованиям; запрещается хранение уборочного инвентаря для туалетов совместно с инвентарем для уборки других помещений; график проведения генеральной уборки помещений объекта не соответствует обязательным требованиям</w:t>
      </w:r>
    </w:p>
    <w:p>
      <w:pPr>
        <w:ind w:left="504"/>
      </w:pPr>
      <w:r>
        <w:rPr>
          <w:b w:val="0"/>
          <w:i/>
        </w:rPr>
        <w:t>Для уборки торговых залов, складских и вспомогательных помещений уборочный инвентарь маркируется в зависимости от назначения помещений и видов уборочных работ и хранится в помещении для уборочного инвентаря или в специально оборудованном шкафу.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10.6</w:t>
      </w:r>
    </w:p>
    <w:p>
      <w:pPr>
        <w:ind w:left="504"/>
      </w:pPr>
      <w:r>
        <w:rPr>
          <w:b w:val="0"/>
          <w:i/>
        </w:rPr>
        <w:t>По окончании уборки помещений уборочный инвентарь должен промываться с использованием моющих и дезинфицирующих средств, просушиваться и храниться в специально отведенном для него месте.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10.6</w:t>
      </w:r>
    </w:p>
    <w:p>
      <w:pPr>
        <w:ind w:left="504"/>
      </w:pPr>
      <w:r>
        <w:rPr>
          <w:b w:val="0"/>
          <w:i/>
        </w:rPr>
        <w:t>Уборочный инвентарь для туалета маркируется и хранится в туалетной комнате в специальном шкафу или в отведенном для него месте отдельно от другого уборочного инвентаря.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10.6</w:t>
      </w:r>
    </w:p>
    <w:p>
      <w:pPr>
        <w:ind w:left="504"/>
      </w:pPr>
      <w:r>
        <w:rPr>
          <w:b w:val="0"/>
          <w:i/>
        </w:rPr>
        <w:t>Один раз в месяц должна проводиться уборка всех помещений торговых объектов, а также мытье оборудования и инвентаря с использованием моющих и дезинфицирующих средств.</w:t>
        <w:br/>
        <w:br/>
        <w:t>СП 2.3.6.3668-20 «Санитарно-эпидемиологические требования к условиям деятельности торговых объектов и рынков, реализующих пищевую продукцию», п. 10.5</w:t>
      </w:r>
    </w:p>
    <w:p>
      <w:pPr>
        <w:pStyle w:val="Heading2"/>
      </w:pPr>
      <w:r>
        <w:t>2. Разработка мероприятий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По результатам проверки объекта необходимо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инициировать административное расследование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снять с реализации опасную и некачественную продукцию, обнаруженную в ходе проверки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приостановить деятельность объекта до устранения выявленных нарушений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выдать после оформления акт проверки поднадзорного объекта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приобщить к акту документы или иные материалы, являющиеся доказательством нарушения обязательных требований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выдать предписание об устранении выявленных нарушений обязательных требований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снять с реализации опасную и некачественную продукцию, обнаруженную в ходе проверки; выдать после оформления акт проверки поднадзорного объекта; приобщить к акту документы или иные материалы, являющиеся доказательством нарушения обязательных требований; выдать предписание об устранении выявленных нарушений обязательных требований</w:t>
      </w:r>
    </w:p>
    <w:p>
      <w:pPr>
        <w:ind w:left="504"/>
      </w:pPr>
      <w:r>
        <w:rPr>
          <w:b w:val="0"/>
          <w:i/>
        </w:rPr>
        <w:t>Каждая проверка поднадзорного объекта требует снятия с реализации не качественной и опасной продукции.</w:t>
        <w:br/>
        <w:br/>
        <w:t>Опасная и некачественная продукция не может находиться в обороте.</w:t>
        <w:br/>
        <w:br/>
        <w:t>ФЗ № 29 «О качестве и безопасности пищевых продуктов», ст.3</w:t>
      </w:r>
    </w:p>
    <w:p>
      <w:pPr>
        <w:ind w:left="504"/>
      </w:pPr>
      <w:r>
        <w:rPr>
          <w:b w:val="0"/>
          <w:i/>
        </w:rPr>
        <w:t>Каждая проверка поднадзорного объекта требует документального оформления.</w:t>
        <w:br/>
        <w:br/>
        <w:t>ФЗ-248 «О государственном контроле (надзоре) и муниципальном контроле в РФ», ст.87 п.2</w:t>
        <w:br/>
        <w:br/>
      </w:r>
      <w:hyperlink r:id="rId29">
        <w:r>
          <w:rPr>
            <w:color w:val="0F766E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br/>
        <w:br/>
      </w:r>
      <w:hyperlink r:id="rId33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Документы или иные материалы, являющиеся доказательством нарушения обязательных требований, приобщаются к акту проверки.</w:t>
        <w:br/>
        <w:br/>
        <w:t>ФЗ-248 «О государственном контроле (надзоре) и муниципальном контроле в РФ», ст.87 п.2</w:t>
        <w:br/>
        <w:br/>
      </w:r>
      <w:hyperlink r:id="rId29">
        <w:r>
          <w:rPr>
            <w:color w:val="0F766E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br/>
        <w:br/>
      </w:r>
      <w:hyperlink r:id="rId33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Каждая проверка поднадзорного объекта требует выдачи предписания об устранении выявленных нарушений обязательных требований.</w:t>
        <w:br/>
        <w:br/>
        <w:t>В соответствии со ст. № 90.п.2. ФЗ-248 «О государственном контроле (надзоре) и муниципальном контроле в РФ», ст.90 п.2</w:t>
        <w:br/>
        <w:br/>
      </w:r>
      <w:hyperlink r:id="rId29">
        <w:r>
          <w:rPr>
            <w:color w:val="0F766E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br/>
        <w:br/>
      </w:r>
      <w:hyperlink r:id="rId3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Оценка ситуации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К действующим требованиям к оформлению акта контрольного (надзорного) мероприятия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указание в акте, какое именно обязательное требование нарушено, каким нормативным правовым актом и его структурной единицей оно установлено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оформление акта на месте проведения контрольного (надзорного) мероприятия в день окончания проведения такого мероприятия, если иной порядок оформления акта не установлен действующим законодательством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фиксацию в акте отказа от подписи контролируемого лица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фиксацию в акте факта досрочного (до окончания проверки) устранения выявленного нарушения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приобщение к акту документов или иных материалов, являющихся доказательством нарушения обязательных требований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фиксацию в акте выявленных нарушений обязательных требований со ссылкой на нормативный правовой акт, регламентирующий обязательные требования к контролируемому объекту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указание в акте, какое именно обязательное требование нарушено, каким нормативным правовым актом и его структурной единицей оно установлено; оформление акта на месте проведения контрольного (надзорного) мероприятия в день окончания проведения такого мероприятия, если иной порядок оформления акта не установлен действующим законодательством; фиксацию в акте отказа от подписи контролируемого лица; фиксацию в акте факта досрочного (до окончания проверки) устранения выявленного нарушения; приобщение к акту документов или иных материалов, являющихся доказательством нарушения обязательных требований</w:t>
      </w:r>
    </w:p>
    <w:p>
      <w:pPr>
        <w:ind w:left="504"/>
      </w:pPr>
      <w:r>
        <w:rPr>
          <w:b w:val="0"/>
          <w:i/>
        </w:rPr>
        <w:t>По окончании проведения контрольного (надзорного) мероприятия, предусматривающего взаимодействие с контролируемым лицом, составляется акт контрольного (надзорного) мероприятия (далее также - акт). В случае, если по результатам проведения такого мероприятия выявлено нарушение обязательных требований, в акте должно быть указано, какое именно обязательное требование нарушено, каким нормативным правовым актом и его структурной единицей оно установлено.</w:t>
        <w:br/>
        <w:br/>
        <w:t>ФЗ-248 «О государственном контроле (надзоре) и муниципальном контроле в РФ», ст.87 п.2</w:t>
        <w:br/>
        <w:br/>
      </w:r>
      <w:hyperlink r:id="rId29">
        <w:r>
          <w:rPr>
            <w:color w:val="0F766E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br/>
        <w:br/>
      </w:r>
      <w:hyperlink r:id="rId33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Оформление акта производится на месте проведения контрольного (надзорного) мероприятия в день окончания проведения такого мероприятия, если иной порядок оформления акта не установлен Правительством Российской Федерации.</w:t>
        <w:br/>
        <w:br/>
        <w:t>ФЗ-248 «О государственном контроле (надзоре) и муниципальном контроле в РФ», ст.87 п.3</w:t>
        <w:br/>
        <w:br/>
      </w:r>
      <w:hyperlink r:id="rId29">
        <w:r>
          <w:rPr>
            <w:color w:val="0F766E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br/>
        <w:br/>
      </w:r>
      <w:hyperlink r:id="rId3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отказе или невозможности подписания контролируемым лицом или его представителем акта по итогам проведения контрольного (надзорного) мероприятия в акте делается соответствующая отметка.</w:t>
        <w:br/>
        <w:br/>
        <w:t>ФЗ-248 «О государственном контроле (надзоре) и муниципальном контроле в РФ», ст.87 п.3</w:t>
        <w:br/>
        <w:br/>
      </w:r>
      <w:hyperlink r:id="rId29">
        <w:r>
          <w:rPr>
            <w:color w:val="0F766E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br/>
        <w:br/>
      </w:r>
      <w:hyperlink r:id="rId3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случае устранения выявленного нарушения до окончания проведения контрольного (надзорного) мероприятия, предусматривающего взаимодействие с контролируемым лицом,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</w:t>
        <w:br/>
        <w:br/>
      </w:r>
      <w:hyperlink r:id="rId29">
        <w:r>
          <w:rPr>
            <w:color w:val="0F766E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br/>
        <w:br/>
      </w:r>
      <w:hyperlink r:id="rId36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Документы или иные материалы, являющиеся доказательством нарушения обязательных требований, приобщаются к акту проверки</w:t>
        <w:br/>
        <w:br/>
        <w:t>В соответствии со ст. № 87. п.2. ФЗ-248 «О государственном контроле (надзоре) и муниципальном контроле в РФ</w:t>
        <w:br/>
        <w:br/>
      </w:r>
      <w:hyperlink r:id="rId29">
        <w:r>
          <w:rPr>
            <w:color w:val="0F766E"/>
            <w:u w:val="single"/>
          </w:rPr>
          <w:t>Федеральный закон от 31 июля 2020 г. № 248-ФЗ "О государственном контроле (надзоре) и муниципальном контроле в Российской Федерации" (с изменениями на 6 декабря 2021 года)</w:t>
        </w:r>
      </w:hyperlink>
      <w:r>
        <w:rPr>
          <w:b w:val="0"/>
          <w:i/>
        </w:rPr>
        <w:br/>
        <w:br/>
      </w:r>
      <w:hyperlink r:id="rId36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ISBN9785970437063/?anchor=paragraph_0n1ill#paragraph_0n1ill" TargetMode="External"/><Relationship Id="rId10" Type="http://schemas.openxmlformats.org/officeDocument/2006/relationships/hyperlink" Target="https://library.mededtech.ru/rest/documents/ISBN9785970437063/?anchor=paragraph_v5h75r#paragraph_v5h75r" TargetMode="External"/><Relationship Id="rId11" Type="http://schemas.openxmlformats.org/officeDocument/2006/relationships/hyperlink" Target="https://library.mededtech.ru/rest/documents/ISBN9785970437063/?anchor=paragraph_ajo3ft#paragraph_ajo3ft" TargetMode="External"/><Relationship Id="rId12" Type="http://schemas.openxmlformats.org/officeDocument/2006/relationships/hyperlink" Target="https://library.mededtech.ru/rest/documents/ISBN9785970437063/?anchor=paragraph_an6gcj#paragraph_an6gcj" TargetMode="External"/><Relationship Id="rId13" Type="http://schemas.openxmlformats.org/officeDocument/2006/relationships/hyperlink" Target="https://library.mededtech.ru/rest/documents/ISBN9785970437063/?anchor=paragraph_5phuh3#paragraph_5phuh3" TargetMode="External"/><Relationship Id="rId14" Type="http://schemas.openxmlformats.org/officeDocument/2006/relationships/hyperlink" Target="https://library.mededtech.ru/rest/documents/ISBN9785970437063/?anchor=paragraph_160p75#paragraph_160p75" TargetMode="External"/><Relationship Id="rId15" Type="http://schemas.openxmlformats.org/officeDocument/2006/relationships/hyperlink" Target="https://library.mededtech.ru/rest/documents/ISBN9785970437063/?anchor=paragraph_epk2fm#paragraph_epk2fm" TargetMode="External"/><Relationship Id="rId16" Type="http://schemas.openxmlformats.org/officeDocument/2006/relationships/hyperlink" Target="https://library.mededtech.ru/rest/documents/ISBN9785970437063/?anchor=paragraph_47s5ef#paragraph_47s5ef" TargetMode="External"/><Relationship Id="rId17" Type="http://schemas.openxmlformats.org/officeDocument/2006/relationships/hyperlink" Target="https://library.mededtech.ru/rest/documents/ISBN9785970437063/?anchor=paragraph_ng5bnj#paragraph_ng5bnj" TargetMode="External"/><Relationship Id="rId18" Type="http://schemas.openxmlformats.org/officeDocument/2006/relationships/hyperlink" Target="https://library.mededtech.ru/rest/documents/ISBN9785970437063/?anchor=paragraph_va6r0l#paragraph_va6r0l" TargetMode="External"/><Relationship Id="rId19" Type="http://schemas.openxmlformats.org/officeDocument/2006/relationships/hyperlink" Target="https://library.mededtech.ru/rest/documents/ISBN9785970437063/?anchor=paragraph_445av7#paragraph_445av7" TargetMode="External"/><Relationship Id="rId20" Type="http://schemas.openxmlformats.org/officeDocument/2006/relationships/hyperlink" Target="https://library.mededtech.ru/rest/documents/ISBN9785970437063/?anchor=paragraph_3ffqat#paragraph_3ffqat" TargetMode="External"/><Relationship Id="rId21" Type="http://schemas.openxmlformats.org/officeDocument/2006/relationships/hyperlink" Target="https://library.mededtech.ru/rest/documents/ISBN9785970437063/?anchor=paragraph_5t4u7j#paragraph_5t4u7j" TargetMode="External"/><Relationship Id="rId22" Type="http://schemas.openxmlformats.org/officeDocument/2006/relationships/hyperlink" Target="https://library.mededtech.ru/rest/documents/ISBN9785970437063/?anchor=paragraph_q3s59i#paragraph_q3s59i" TargetMode="External"/><Relationship Id="rId23" Type="http://schemas.openxmlformats.org/officeDocument/2006/relationships/hyperlink" Target="https://library.mededtech.ru/rest/documents/ISBN9785970437063/?anchor=paragraph_489sg2#paragraph_489sg2" TargetMode="External"/><Relationship Id="rId24" Type="http://schemas.openxmlformats.org/officeDocument/2006/relationships/hyperlink" Target="https://library.mededtech.ru/rest/documents/ISBN9785970437063/?anchor=paragraph_gq02rl#paragraph_gq02rl" TargetMode="External"/><Relationship Id="rId25" Type="http://schemas.openxmlformats.org/officeDocument/2006/relationships/hyperlink" Target="https://library.mededtech.ru/rest/documents/ISBN9785970437063/?anchor=paragraph_2g8dca#paragraph_2g8dca" TargetMode="External"/><Relationship Id="rId26" Type="http://schemas.openxmlformats.org/officeDocument/2006/relationships/hyperlink" Target="https://library.mededtech.ru/rest/documents/ISBN9785970437063/?anchor=paragraph_ra5kie#paragraph_ra5kie" TargetMode="External"/><Relationship Id="rId27" Type="http://schemas.openxmlformats.org/officeDocument/2006/relationships/hyperlink" Target="https://library.mededtech.ru/rest/documents/ISBN9785970437063/?anchor=paragraph_j8d41c#paragraph_j8d41c" TargetMode="External"/><Relationship Id="rId28" Type="http://schemas.openxmlformats.org/officeDocument/2006/relationships/hyperlink" Target="https://library.mededtech.ru/rest/documents/ISBN9785970437063/?anchor=paragraph_u859vf#paragraph_u859vf" TargetMode="External"/><Relationship Id="rId29" Type="http://schemas.openxmlformats.org/officeDocument/2006/relationships/hyperlink" Target="https://library.mededtech.ru/rest/documents/prikaz248/" TargetMode="External"/><Relationship Id="rId30" Type="http://schemas.openxmlformats.org/officeDocument/2006/relationships/hyperlink" Target="https://library.mededtech.ru/rest/documents/prikaz248/#list_item_af87dh" TargetMode="External"/><Relationship Id="rId31" Type="http://schemas.openxmlformats.org/officeDocument/2006/relationships/hyperlink" Target="https://library.mededtech.ru/rest/documents/prikaz248/#list_item_rfgmib" TargetMode="External"/><Relationship Id="rId32" Type="http://schemas.openxmlformats.org/officeDocument/2006/relationships/hyperlink" Target="https://library.mededtech.ru/rest/documents/prikaz248/#list_item_3bh31c" TargetMode="External"/><Relationship Id="rId33" Type="http://schemas.openxmlformats.org/officeDocument/2006/relationships/hyperlink" Target="https://library.mededtech.ru/rest/documents/prikaz248/#list_item_dke7en" TargetMode="External"/><Relationship Id="rId34" Type="http://schemas.openxmlformats.org/officeDocument/2006/relationships/hyperlink" Target="https://library.mededtech.ru/rest/documents/prikaz248/#list_item_cqk47u" TargetMode="External"/><Relationship Id="rId35" Type="http://schemas.openxmlformats.org/officeDocument/2006/relationships/hyperlink" Target="https://library.mededtech.ru/rest/documents/prikaz248/#list_item_kqmha6" TargetMode="External"/><Relationship Id="rId36" Type="http://schemas.openxmlformats.org/officeDocument/2006/relationships/hyperlink" Target="https://library.mededtech.ru/rest/documents/prikaz248/index.html#list_item_dke7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